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Familiar Calderon Gerardo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747"/>
        <w:gridCol w:w="1484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16.61</w:t>
            </w:r>
          </w:p>
        </w:tc>
        <w:tc>
          <w:tcPr>
            <w:tcW w:w="14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58,498.8899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withheld to satisfy tax obligations on vesting restricted stock units and dividend equivalent units. Transactions are exempt from Section 16(b) pursuant to Rule 16b-3. No shares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directly owned shares, restricted stock units and dividend equivalent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Advanced Performance Materials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603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3390</Characters>
  <CharactersWithSpaces>3931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