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HOSTETTER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25"/>
        <w:gridCol w:w="438"/>
        <w:gridCol w:w="745"/>
        <w:gridCol w:w="1479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3,087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15.11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99,347.7058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withheld to satisfy tax obligations on vesting restricted stock units and dividend equivalent units. Transactions are exempt from Section 16(b) pursuant to Rule 16b-3. No shares were sold.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directly owned shares, restricted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686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3348</Characters>
  <CharactersWithSpaces>3886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