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Martinko Joseph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784"/>
        <w:gridCol w:w="440"/>
        <w:gridCol w:w="747"/>
        <w:gridCol w:w="1484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663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16.61</w:t>
            </w:r>
          </w:p>
        </w:tc>
        <w:tc>
          <w:tcPr>
            <w:tcW w:w="14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54,818.5559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automatically withheld to satisfy tax obligations on vesting restricted stock units and dividend equivalent units. Transactions are exempt from Section 16(b) pursuant to Rule 16b-3. No shares were sold.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directly owned shares, restricted stock units and dividend equivalent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President, Thermal &amp; Specialized Solutions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8020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3383</Characters>
  <CharactersWithSpaces>3925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