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Wellman Kristine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&amp; Corp.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747"/>
        <w:gridCol w:w="1484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16.61</w:t>
            </w:r>
          </w:p>
        </w:tc>
        <w:tc>
          <w:tcPr>
            <w:tcW w:w="14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74,418.8998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withheld to satisfy tax obligations on vesting restricted stock units and dividend equivalent units. Transactions are exempt from Section 16(b) pursuant to Rule 16b-3. No shares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directly owned shares, restricted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8665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3348</Characters>
  <CharactersWithSpaces>3889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